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64" w:rsidRPr="00F37522" w:rsidRDefault="00F37522" w:rsidP="00F37522">
      <w:pPr>
        <w:jc w:val="center"/>
        <w:rPr>
          <w:b/>
          <w:sz w:val="24"/>
          <w:szCs w:val="24"/>
        </w:rPr>
      </w:pPr>
      <w:r w:rsidRPr="00F37522">
        <w:rPr>
          <w:b/>
          <w:sz w:val="24"/>
          <w:szCs w:val="24"/>
        </w:rPr>
        <w:t>UNI Procurement Services</w:t>
      </w:r>
    </w:p>
    <w:p w:rsidR="00F37522" w:rsidRPr="00F37522" w:rsidRDefault="00F37522" w:rsidP="00F37522">
      <w:pPr>
        <w:spacing w:after="0" w:line="240" w:lineRule="auto"/>
        <w:jc w:val="center"/>
        <w:rPr>
          <w:b/>
          <w:sz w:val="44"/>
          <w:szCs w:val="44"/>
        </w:rPr>
      </w:pPr>
      <w:r w:rsidRPr="00F37522">
        <w:rPr>
          <w:b/>
          <w:sz w:val="44"/>
          <w:szCs w:val="44"/>
        </w:rPr>
        <w:t>2017 Supplier Showcase</w:t>
      </w:r>
    </w:p>
    <w:p w:rsidR="00F37522" w:rsidRPr="00F37522" w:rsidRDefault="00F37522" w:rsidP="00F37522">
      <w:pPr>
        <w:spacing w:after="0" w:line="240" w:lineRule="auto"/>
        <w:jc w:val="center"/>
        <w:rPr>
          <w:sz w:val="24"/>
          <w:szCs w:val="24"/>
        </w:rPr>
      </w:pPr>
      <w:r w:rsidRPr="00F37522">
        <w:rPr>
          <w:sz w:val="24"/>
          <w:szCs w:val="24"/>
        </w:rPr>
        <w:t>Thursday, September 14, 2017</w:t>
      </w:r>
    </w:p>
    <w:p w:rsidR="00F37522" w:rsidRPr="00F37522" w:rsidRDefault="00F37522" w:rsidP="00F37522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37522">
        <w:rPr>
          <w:sz w:val="24"/>
          <w:szCs w:val="24"/>
        </w:rPr>
        <w:t>Maucker</w:t>
      </w:r>
      <w:proofErr w:type="spellEnd"/>
      <w:r w:rsidRPr="00F37522">
        <w:rPr>
          <w:sz w:val="24"/>
          <w:szCs w:val="24"/>
        </w:rPr>
        <w:t xml:space="preserve"> </w:t>
      </w:r>
      <w:r w:rsidR="00907BF6">
        <w:rPr>
          <w:sz w:val="24"/>
          <w:szCs w:val="24"/>
        </w:rPr>
        <w:t>Union</w:t>
      </w:r>
      <w:r w:rsidRPr="00F37522">
        <w:rPr>
          <w:sz w:val="24"/>
          <w:szCs w:val="24"/>
        </w:rPr>
        <w:t xml:space="preserve"> Ballroom C</w:t>
      </w:r>
    </w:p>
    <w:p w:rsidR="00F37522" w:rsidRDefault="00F37522" w:rsidP="006C5279">
      <w:pPr>
        <w:spacing w:after="0" w:line="240" w:lineRule="auto"/>
      </w:pPr>
    </w:p>
    <w:p w:rsidR="00F37522" w:rsidRDefault="002B1C61" w:rsidP="006C5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UNI employees are invited to meet the Procurement Services Team and selected </w:t>
      </w:r>
      <w:r w:rsidR="001439FD">
        <w:rPr>
          <w:sz w:val="24"/>
          <w:szCs w:val="24"/>
        </w:rPr>
        <w:t>vendors anytime between 10:00 a</w:t>
      </w:r>
      <w:r>
        <w:rPr>
          <w:sz w:val="24"/>
          <w:szCs w:val="24"/>
        </w:rPr>
        <w:t xml:space="preserve">m and 2:00 </w:t>
      </w:r>
      <w:r w:rsidR="001439FD">
        <w:rPr>
          <w:sz w:val="24"/>
          <w:szCs w:val="24"/>
        </w:rPr>
        <w:t>p</w:t>
      </w:r>
      <w:r>
        <w:rPr>
          <w:sz w:val="24"/>
          <w:szCs w:val="24"/>
        </w:rPr>
        <w:t xml:space="preserve">m. It should </w:t>
      </w:r>
      <w:bookmarkStart w:id="0" w:name="_GoBack"/>
      <w:bookmarkEnd w:id="0"/>
      <w:r>
        <w:rPr>
          <w:sz w:val="24"/>
          <w:szCs w:val="24"/>
        </w:rPr>
        <w:t xml:space="preserve">take less than 15 minutes to peruse the show. </w:t>
      </w:r>
    </w:p>
    <w:p w:rsidR="00F37522" w:rsidRDefault="00F37522" w:rsidP="00F37522">
      <w:pPr>
        <w:spacing w:after="0" w:line="240" w:lineRule="auto"/>
        <w:jc w:val="center"/>
        <w:rPr>
          <w:sz w:val="24"/>
          <w:szCs w:val="24"/>
        </w:rPr>
      </w:pPr>
    </w:p>
    <w:p w:rsidR="00F37522" w:rsidRDefault="00F37522" w:rsidP="00F37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the TIER initiative</w:t>
      </w:r>
      <w:r w:rsidR="006C5279">
        <w:rPr>
          <w:sz w:val="24"/>
          <w:szCs w:val="24"/>
        </w:rPr>
        <w:t>,</w:t>
      </w:r>
      <w:r>
        <w:rPr>
          <w:sz w:val="24"/>
          <w:szCs w:val="24"/>
        </w:rPr>
        <w:t xml:space="preserve"> and in conjunction with Iowa Board of Regents Universities</w:t>
      </w:r>
      <w:r w:rsidR="006C5279">
        <w:rPr>
          <w:sz w:val="24"/>
          <w:szCs w:val="24"/>
        </w:rPr>
        <w:t>,</w:t>
      </w:r>
      <w:r>
        <w:rPr>
          <w:sz w:val="24"/>
          <w:szCs w:val="24"/>
        </w:rPr>
        <w:t xml:space="preserve"> UNI has completed awards to vendors covering seven major are</w:t>
      </w:r>
      <w:r w:rsidR="001439FD">
        <w:rPr>
          <w:sz w:val="24"/>
          <w:szCs w:val="24"/>
        </w:rPr>
        <w:t>as</w:t>
      </w:r>
      <w:r>
        <w:rPr>
          <w:sz w:val="24"/>
          <w:szCs w:val="24"/>
        </w:rPr>
        <w:t xml:space="preserve">. We would like to introduce these vendors to campus in an effort to develop partnerships </w:t>
      </w:r>
      <w:r w:rsidR="006C5279">
        <w:rPr>
          <w:sz w:val="24"/>
          <w:szCs w:val="24"/>
        </w:rPr>
        <w:t>and establish communications to</w:t>
      </w:r>
      <w:r>
        <w:rPr>
          <w:sz w:val="24"/>
          <w:szCs w:val="24"/>
        </w:rPr>
        <w:t xml:space="preserve"> drive</w:t>
      </w:r>
      <w:r w:rsidR="006C5279">
        <w:rPr>
          <w:sz w:val="24"/>
          <w:szCs w:val="24"/>
        </w:rPr>
        <w:t xml:space="preserve"> future</w:t>
      </w:r>
      <w:r>
        <w:rPr>
          <w:sz w:val="24"/>
          <w:szCs w:val="24"/>
        </w:rPr>
        <w:t xml:space="preserve"> savings.</w:t>
      </w:r>
      <w:r w:rsidR="006C5279">
        <w:rPr>
          <w:sz w:val="24"/>
          <w:szCs w:val="24"/>
        </w:rPr>
        <w:t xml:space="preserve"> </w:t>
      </w:r>
    </w:p>
    <w:p w:rsidR="00F37522" w:rsidRDefault="00F37522" w:rsidP="00F37522">
      <w:pPr>
        <w:spacing w:after="0" w:line="240" w:lineRule="auto"/>
        <w:rPr>
          <w:sz w:val="24"/>
          <w:szCs w:val="24"/>
        </w:rPr>
      </w:pPr>
    </w:p>
    <w:p w:rsidR="006C5279" w:rsidRDefault="006C5279" w:rsidP="00F3752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6C5279" w:rsidTr="001439FD">
        <w:tc>
          <w:tcPr>
            <w:tcW w:w="3685" w:type="dxa"/>
          </w:tcPr>
          <w:p w:rsidR="006C5279" w:rsidRPr="006C5279" w:rsidRDefault="006C5279" w:rsidP="00F37522">
            <w:pPr>
              <w:rPr>
                <w:b/>
                <w:sz w:val="28"/>
                <w:szCs w:val="28"/>
              </w:rPr>
            </w:pPr>
            <w:r w:rsidRPr="006C5279">
              <w:rPr>
                <w:b/>
                <w:sz w:val="28"/>
                <w:szCs w:val="28"/>
              </w:rPr>
              <w:t>Commodity</w:t>
            </w:r>
          </w:p>
        </w:tc>
        <w:tc>
          <w:tcPr>
            <w:tcW w:w="2880" w:type="dxa"/>
          </w:tcPr>
          <w:p w:rsidR="006C5279" w:rsidRPr="006C5279" w:rsidRDefault="006C5279" w:rsidP="00F37522">
            <w:pPr>
              <w:rPr>
                <w:b/>
                <w:sz w:val="28"/>
                <w:szCs w:val="28"/>
              </w:rPr>
            </w:pPr>
            <w:r w:rsidRPr="006C5279">
              <w:rPr>
                <w:b/>
                <w:sz w:val="28"/>
                <w:szCs w:val="28"/>
              </w:rPr>
              <w:t>Awarded Vendor</w:t>
            </w:r>
          </w:p>
        </w:tc>
        <w:tc>
          <w:tcPr>
            <w:tcW w:w="2785" w:type="dxa"/>
          </w:tcPr>
          <w:p w:rsidR="006C5279" w:rsidRPr="006C5279" w:rsidRDefault="006C5279" w:rsidP="00F37522">
            <w:pPr>
              <w:rPr>
                <w:b/>
                <w:sz w:val="28"/>
                <w:szCs w:val="28"/>
              </w:rPr>
            </w:pPr>
            <w:proofErr w:type="spellStart"/>
            <w:r w:rsidRPr="006C5279">
              <w:rPr>
                <w:b/>
                <w:sz w:val="28"/>
                <w:szCs w:val="28"/>
              </w:rPr>
              <w:t>iProcurement</w:t>
            </w:r>
            <w:proofErr w:type="spellEnd"/>
          </w:p>
        </w:tc>
      </w:tr>
      <w:tr w:rsidR="006C5279" w:rsidTr="001439FD">
        <w:tc>
          <w:tcPr>
            <w:tcW w:w="36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880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Depot</w:t>
            </w:r>
          </w:p>
        </w:tc>
        <w:tc>
          <w:tcPr>
            <w:tcW w:w="27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6C5279" w:rsidTr="001439FD">
        <w:tc>
          <w:tcPr>
            <w:tcW w:w="36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2880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</w:t>
            </w:r>
          </w:p>
        </w:tc>
        <w:tc>
          <w:tcPr>
            <w:tcW w:w="27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6C5279" w:rsidTr="001439FD">
        <w:tc>
          <w:tcPr>
            <w:tcW w:w="36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Food Vendor</w:t>
            </w:r>
          </w:p>
        </w:tc>
        <w:tc>
          <w:tcPr>
            <w:tcW w:w="2880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Bros.</w:t>
            </w:r>
          </w:p>
        </w:tc>
        <w:tc>
          <w:tcPr>
            <w:tcW w:w="27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– Dining Services Only</w:t>
            </w:r>
          </w:p>
        </w:tc>
      </w:tr>
      <w:tr w:rsidR="006C5279" w:rsidTr="001439FD">
        <w:tc>
          <w:tcPr>
            <w:tcW w:w="36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Janitorial Supplies</w:t>
            </w:r>
          </w:p>
        </w:tc>
        <w:tc>
          <w:tcPr>
            <w:tcW w:w="2880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SupplyWorks</w:t>
            </w:r>
            <w:proofErr w:type="spellEnd"/>
            <w:r>
              <w:rPr>
                <w:sz w:val="24"/>
                <w:szCs w:val="24"/>
              </w:rPr>
              <w:t>/Interline</w:t>
            </w:r>
          </w:p>
        </w:tc>
        <w:tc>
          <w:tcPr>
            <w:tcW w:w="27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1439FD">
              <w:rPr>
                <w:sz w:val="24"/>
                <w:szCs w:val="24"/>
              </w:rPr>
              <w:t xml:space="preserve"> – Campus Supply Only</w:t>
            </w:r>
          </w:p>
        </w:tc>
      </w:tr>
      <w:tr w:rsidR="006C5279" w:rsidTr="001439FD">
        <w:tc>
          <w:tcPr>
            <w:tcW w:w="36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Peripherals</w:t>
            </w:r>
            <w:r w:rsidR="001439FD">
              <w:rPr>
                <w:sz w:val="24"/>
                <w:szCs w:val="24"/>
              </w:rPr>
              <w:t xml:space="preserve"> (Printers, Cables and Accessories)</w:t>
            </w:r>
          </w:p>
        </w:tc>
        <w:tc>
          <w:tcPr>
            <w:tcW w:w="2880" w:type="dxa"/>
          </w:tcPr>
          <w:p w:rsidR="006C5279" w:rsidRDefault="006C5279" w:rsidP="0014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CDW – </w:t>
            </w:r>
            <w:r w:rsidR="001439FD">
              <w:rPr>
                <w:sz w:val="24"/>
                <w:szCs w:val="24"/>
              </w:rPr>
              <w:t>Unable to attend</w:t>
            </w:r>
          </w:p>
        </w:tc>
        <w:tc>
          <w:tcPr>
            <w:tcW w:w="2785" w:type="dxa"/>
          </w:tcPr>
          <w:p w:rsidR="006C5279" w:rsidRDefault="006C5279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39FD" w:rsidTr="001439FD">
        <w:tc>
          <w:tcPr>
            <w:tcW w:w="3685" w:type="dxa"/>
            <w:vMerge w:val="restart"/>
            <w:vAlign w:val="center"/>
          </w:tcPr>
          <w:p w:rsidR="001439FD" w:rsidRDefault="001439FD" w:rsidP="0014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Supplies</w:t>
            </w:r>
          </w:p>
        </w:tc>
        <w:tc>
          <w:tcPr>
            <w:tcW w:w="2880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 – Primary</w:t>
            </w:r>
          </w:p>
        </w:tc>
        <w:tc>
          <w:tcPr>
            <w:tcW w:w="2785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39FD" w:rsidTr="001439FD">
        <w:tc>
          <w:tcPr>
            <w:tcW w:w="3685" w:type="dxa"/>
            <w:vMerge/>
          </w:tcPr>
          <w:p w:rsidR="001439FD" w:rsidRDefault="001439FD" w:rsidP="00F375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VWR – Secondary</w:t>
            </w:r>
          </w:p>
        </w:tc>
        <w:tc>
          <w:tcPr>
            <w:tcW w:w="2785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39FD" w:rsidTr="001439FD">
        <w:tc>
          <w:tcPr>
            <w:tcW w:w="3685" w:type="dxa"/>
            <w:vMerge w:val="restart"/>
          </w:tcPr>
          <w:p w:rsidR="001439FD" w:rsidRDefault="001439FD" w:rsidP="00F375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Maintence</w:t>
            </w:r>
            <w:proofErr w:type="spellEnd"/>
            <w:r>
              <w:rPr>
                <w:sz w:val="24"/>
                <w:szCs w:val="24"/>
              </w:rPr>
              <w:t>/Repair/Operations (MRO)*</w:t>
            </w:r>
          </w:p>
        </w:tc>
        <w:tc>
          <w:tcPr>
            <w:tcW w:w="2880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Grainger - Primary</w:t>
            </w:r>
          </w:p>
        </w:tc>
        <w:tc>
          <w:tcPr>
            <w:tcW w:w="2785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439FD" w:rsidTr="001439FD">
        <w:tc>
          <w:tcPr>
            <w:tcW w:w="3685" w:type="dxa"/>
            <w:vMerge/>
          </w:tcPr>
          <w:p w:rsidR="001439FD" w:rsidRDefault="001439FD" w:rsidP="00F3752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 – Electrical</w:t>
            </w:r>
          </w:p>
        </w:tc>
        <w:tc>
          <w:tcPr>
            <w:tcW w:w="2785" w:type="dxa"/>
          </w:tcPr>
          <w:p w:rsidR="001439FD" w:rsidRDefault="001439FD" w:rsidP="00F37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process</w:t>
            </w:r>
          </w:p>
        </w:tc>
      </w:tr>
    </w:tbl>
    <w:p w:rsidR="00F37522" w:rsidRDefault="00F37522" w:rsidP="00F37522">
      <w:pPr>
        <w:spacing w:after="0" w:line="240" w:lineRule="auto"/>
        <w:rPr>
          <w:sz w:val="24"/>
          <w:szCs w:val="24"/>
        </w:rPr>
      </w:pPr>
    </w:p>
    <w:p w:rsidR="0002527F" w:rsidRDefault="0002527F" w:rsidP="00F37522">
      <w:pPr>
        <w:spacing w:after="0" w:line="240" w:lineRule="auto"/>
        <w:rPr>
          <w:sz w:val="24"/>
          <w:szCs w:val="24"/>
        </w:rPr>
      </w:pPr>
    </w:p>
    <w:p w:rsidR="0002527F" w:rsidRDefault="0002527F" w:rsidP="00F37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 attending the</w:t>
      </w:r>
      <w:r w:rsidR="002B1C61">
        <w:rPr>
          <w:sz w:val="24"/>
          <w:szCs w:val="24"/>
        </w:rPr>
        <w:t xml:space="preserve"> show is Windstar, UNI’s exclusive vendor for Bus transportation. </w:t>
      </w:r>
    </w:p>
    <w:p w:rsidR="002B1C61" w:rsidRDefault="002B1C61" w:rsidP="00F37522">
      <w:pPr>
        <w:spacing w:after="0" w:line="240" w:lineRule="auto"/>
        <w:rPr>
          <w:sz w:val="24"/>
          <w:szCs w:val="24"/>
        </w:rPr>
      </w:pPr>
    </w:p>
    <w:p w:rsidR="002B1C61" w:rsidRDefault="002B1C61" w:rsidP="00F375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look forward to seeing you.</w:t>
      </w:r>
    </w:p>
    <w:p w:rsidR="002B1C61" w:rsidRDefault="002B1C61" w:rsidP="00F37522">
      <w:pPr>
        <w:spacing w:after="0" w:line="240" w:lineRule="auto"/>
        <w:rPr>
          <w:sz w:val="24"/>
          <w:szCs w:val="24"/>
        </w:rPr>
      </w:pPr>
    </w:p>
    <w:p w:rsidR="002B1C61" w:rsidRDefault="002B1C61" w:rsidP="00F37522">
      <w:pPr>
        <w:spacing w:after="0" w:line="240" w:lineRule="auto"/>
        <w:rPr>
          <w:sz w:val="24"/>
          <w:szCs w:val="24"/>
        </w:rPr>
      </w:pPr>
    </w:p>
    <w:p w:rsidR="0002527F" w:rsidRDefault="0002527F" w:rsidP="00F37522">
      <w:pPr>
        <w:spacing w:after="0" w:line="240" w:lineRule="auto"/>
        <w:rPr>
          <w:sz w:val="24"/>
          <w:szCs w:val="24"/>
        </w:rPr>
      </w:pPr>
    </w:p>
    <w:p w:rsidR="0002527F" w:rsidRPr="00F37522" w:rsidRDefault="0002527F" w:rsidP="00F37522">
      <w:pPr>
        <w:spacing w:after="0" w:line="240" w:lineRule="auto"/>
        <w:rPr>
          <w:sz w:val="24"/>
          <w:szCs w:val="24"/>
        </w:rPr>
      </w:pPr>
    </w:p>
    <w:sectPr w:rsidR="0002527F" w:rsidRPr="00F3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2"/>
    <w:rsid w:val="0002527F"/>
    <w:rsid w:val="001439FD"/>
    <w:rsid w:val="002B1C61"/>
    <w:rsid w:val="006C5279"/>
    <w:rsid w:val="007F0542"/>
    <w:rsid w:val="00907BF6"/>
    <w:rsid w:val="00964263"/>
    <w:rsid w:val="00C13DF4"/>
    <w:rsid w:val="00CF736B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2241"/>
  <w15:chartTrackingRefBased/>
  <w15:docId w15:val="{B76181D1-FD6A-4AA2-B9E9-9FAB5D92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Tanzosch</dc:creator>
  <cp:keywords/>
  <dc:description/>
  <cp:lastModifiedBy>James Tanzosch</cp:lastModifiedBy>
  <cp:revision>3</cp:revision>
  <cp:lastPrinted>2017-09-07T21:06:00Z</cp:lastPrinted>
  <dcterms:created xsi:type="dcterms:W3CDTF">2017-09-07T20:05:00Z</dcterms:created>
  <dcterms:modified xsi:type="dcterms:W3CDTF">2017-09-08T19:27:00Z</dcterms:modified>
</cp:coreProperties>
</file>